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4"/>
          <w:szCs w:val="29"/>
        </w:rPr>
      </w:pPr>
      <w:r>
        <w:rPr>
          <w:rFonts w:hint="eastAsia" w:ascii="黑体" w:hAnsi="黑体" w:eastAsia="黑体"/>
          <w:sz w:val="24"/>
          <w:szCs w:val="29"/>
        </w:rPr>
        <w:t>附件一</w:t>
      </w:r>
    </w:p>
    <w:p>
      <w:pPr>
        <w:jc w:val="center"/>
        <w:rPr>
          <w:rFonts w:ascii="黑体" w:hAnsi="黑体" w:eastAsia="黑体"/>
          <w:sz w:val="36"/>
          <w:szCs w:val="29"/>
        </w:rPr>
      </w:pPr>
      <w:r>
        <w:rPr>
          <w:rFonts w:hint="eastAsia" w:ascii="黑体" w:hAnsi="黑体" w:eastAsia="黑体"/>
          <w:sz w:val="36"/>
          <w:szCs w:val="29"/>
        </w:rPr>
        <w:t>教育部视频会议信号分流服务采购需求</w:t>
      </w:r>
    </w:p>
    <w:p>
      <w:pPr>
        <w:rPr>
          <w:rFonts w:ascii="仿宋" w:hAnsi="仿宋" w:eastAsia="仿宋"/>
          <w:sz w:val="29"/>
          <w:szCs w:val="29"/>
        </w:rPr>
      </w:pPr>
    </w:p>
    <w:p>
      <w:pPr>
        <w:rPr>
          <w:rFonts w:ascii="仿宋" w:hAnsi="仿宋" w:eastAsia="仿宋"/>
          <w:b/>
          <w:sz w:val="28"/>
          <w:szCs w:val="29"/>
        </w:rPr>
      </w:pPr>
      <w:r>
        <w:rPr>
          <w:rFonts w:hint="eastAsia" w:ascii="仿宋" w:hAnsi="仿宋" w:eastAsia="仿宋"/>
          <w:b/>
          <w:sz w:val="28"/>
          <w:szCs w:val="29"/>
        </w:rPr>
        <w:t>一、项目背景</w:t>
      </w:r>
    </w:p>
    <w:p>
      <w:pPr>
        <w:ind w:firstLine="560" w:firstLineChars="200"/>
        <w:rPr>
          <w:rFonts w:ascii="仿宋" w:hAnsi="仿宋" w:eastAsia="仿宋"/>
          <w:sz w:val="28"/>
          <w:szCs w:val="29"/>
        </w:rPr>
      </w:pPr>
      <w:r>
        <w:rPr>
          <w:rFonts w:hint="eastAsia" w:ascii="仿宋" w:hAnsi="仿宋" w:eastAsia="仿宋"/>
          <w:sz w:val="28"/>
          <w:szCs w:val="29"/>
        </w:rPr>
        <w:t>在视频会议日渐常态化的当下，教育部和市教委与学校间的视频会议也在日渐增加。</w:t>
      </w:r>
    </w:p>
    <w:p>
      <w:pPr>
        <w:ind w:firstLine="560" w:firstLineChars="200"/>
        <w:rPr>
          <w:rFonts w:ascii="仿宋" w:hAnsi="仿宋" w:eastAsia="仿宋"/>
          <w:sz w:val="28"/>
          <w:szCs w:val="29"/>
        </w:rPr>
      </w:pPr>
      <w:r>
        <w:rPr>
          <w:rFonts w:hint="eastAsia" w:ascii="仿宋" w:hAnsi="仿宋" w:eastAsia="仿宋"/>
          <w:sz w:val="28"/>
          <w:szCs w:val="29"/>
        </w:rPr>
        <w:t>本校占地面积广，校区分散。每值有视频会议时，各分校区的参会人员需要长途跋涉，经历舟车劳顿赶往校本部会场参会。期间耗时耗财，产生大量的人力物力成本。本着提高工作效率、节约工作成本的目的，拟建设本项目。</w:t>
      </w:r>
    </w:p>
    <w:p>
      <w:pPr>
        <w:rPr>
          <w:rFonts w:ascii="仿宋" w:hAnsi="仿宋" w:eastAsia="仿宋"/>
          <w:b/>
          <w:sz w:val="28"/>
          <w:szCs w:val="29"/>
        </w:rPr>
      </w:pPr>
      <w:r>
        <w:rPr>
          <w:rFonts w:hint="eastAsia" w:ascii="仿宋" w:hAnsi="仿宋" w:eastAsia="仿宋"/>
          <w:b/>
          <w:sz w:val="28"/>
          <w:szCs w:val="29"/>
        </w:rPr>
        <w:t>二、</w:t>
      </w:r>
      <w:r>
        <w:rPr>
          <w:rFonts w:hint="eastAsia" w:ascii="仿宋" w:hAnsi="仿宋" w:eastAsia="仿宋"/>
          <w:b/>
          <w:sz w:val="28"/>
          <w:szCs w:val="29"/>
          <w:lang w:val="en-US" w:eastAsia="zh-CN"/>
        </w:rPr>
        <w:t>服务</w:t>
      </w:r>
      <w:r>
        <w:rPr>
          <w:rFonts w:hint="eastAsia" w:ascii="仿宋" w:hAnsi="仿宋" w:eastAsia="仿宋"/>
          <w:b/>
          <w:sz w:val="28"/>
          <w:szCs w:val="29"/>
        </w:rPr>
        <w:t>内容</w:t>
      </w:r>
    </w:p>
    <w:p>
      <w:pPr>
        <w:ind w:firstLine="560" w:firstLineChars="200"/>
        <w:rPr>
          <w:rFonts w:ascii="仿宋" w:hAnsi="仿宋" w:eastAsia="仿宋"/>
          <w:sz w:val="28"/>
          <w:szCs w:val="29"/>
        </w:rPr>
      </w:pPr>
      <w:r>
        <w:rPr>
          <w:rFonts w:hint="eastAsia" w:ascii="仿宋" w:hAnsi="仿宋" w:eastAsia="仿宋"/>
          <w:sz w:val="28"/>
          <w:szCs w:val="29"/>
        </w:rPr>
        <w:t>购买满足教育部和市教委相关要求的用于视频会议的视频分流设备，建设在教育部和市教委允许下的视频会议分流项目，即需要达到如下几点效果：</w:t>
      </w:r>
    </w:p>
    <w:p>
      <w:pPr>
        <w:ind w:firstLine="560" w:firstLineChars="200"/>
        <w:rPr>
          <w:rFonts w:ascii="仿宋" w:hAnsi="仿宋" w:eastAsia="仿宋"/>
          <w:sz w:val="28"/>
          <w:szCs w:val="29"/>
        </w:rPr>
      </w:pPr>
      <w:r>
        <w:rPr>
          <w:rFonts w:hint="eastAsia" w:ascii="仿宋" w:hAnsi="仿宋" w:eastAsia="仿宋"/>
          <w:sz w:val="28"/>
          <w:szCs w:val="29"/>
        </w:rPr>
        <w:t>1.分校区会议室可以通过视频分流设备观看教育部和市教委为学校播放的视频会议；</w:t>
      </w:r>
    </w:p>
    <w:p>
      <w:pPr>
        <w:ind w:firstLine="560" w:firstLineChars="200"/>
        <w:rPr>
          <w:rFonts w:ascii="仿宋" w:hAnsi="仿宋" w:eastAsia="仿宋"/>
          <w:sz w:val="28"/>
          <w:szCs w:val="29"/>
        </w:rPr>
      </w:pPr>
      <w:r>
        <w:rPr>
          <w:rFonts w:hint="eastAsia" w:ascii="仿宋" w:hAnsi="仿宋" w:eastAsia="仿宋"/>
          <w:sz w:val="28"/>
          <w:szCs w:val="29"/>
        </w:rPr>
        <w:t>2.视频会议分流后，校园网内各个分会场能同步接收高质量的会议音视频；</w:t>
      </w:r>
    </w:p>
    <w:p>
      <w:pPr>
        <w:ind w:firstLine="560" w:firstLineChars="200"/>
        <w:rPr>
          <w:rFonts w:ascii="仿宋" w:hAnsi="仿宋" w:eastAsia="仿宋"/>
          <w:sz w:val="28"/>
          <w:szCs w:val="29"/>
        </w:rPr>
      </w:pPr>
      <w:r>
        <w:rPr>
          <w:rFonts w:hint="eastAsia" w:ascii="仿宋" w:hAnsi="仿宋" w:eastAsia="仿宋"/>
          <w:sz w:val="28"/>
          <w:szCs w:val="29"/>
        </w:rPr>
        <w:t>3.产品采用一主会场，多分会场的建设方式，并预留接口以满足后期新增的分会场视频分流接入需求。</w:t>
      </w:r>
    </w:p>
    <w:p>
      <w:pPr>
        <w:rPr>
          <w:rFonts w:ascii="仿宋" w:hAnsi="仿宋" w:eastAsia="仿宋"/>
          <w:b/>
          <w:sz w:val="28"/>
          <w:szCs w:val="29"/>
        </w:rPr>
      </w:pPr>
      <w:r>
        <w:rPr>
          <w:rFonts w:ascii="仿宋" w:hAnsi="仿宋" w:eastAsia="仿宋"/>
          <w:b/>
          <w:sz w:val="28"/>
          <w:szCs w:val="29"/>
        </w:rPr>
        <w:t>三</w:t>
      </w:r>
      <w:r>
        <w:rPr>
          <w:rFonts w:hint="eastAsia" w:ascii="仿宋" w:hAnsi="仿宋" w:eastAsia="仿宋"/>
          <w:b/>
          <w:sz w:val="28"/>
          <w:szCs w:val="29"/>
        </w:rPr>
        <w:t>、</w:t>
      </w:r>
      <w:r>
        <w:rPr>
          <w:rFonts w:hint="eastAsia" w:ascii="仿宋" w:hAnsi="仿宋" w:eastAsia="仿宋"/>
          <w:b/>
          <w:sz w:val="28"/>
          <w:szCs w:val="29"/>
          <w:lang w:val="en-US" w:eastAsia="zh-CN"/>
        </w:rPr>
        <w:t>服务</w:t>
      </w:r>
      <w:r>
        <w:rPr>
          <w:rFonts w:hint="eastAsia" w:ascii="仿宋" w:hAnsi="仿宋" w:eastAsia="仿宋"/>
          <w:b/>
          <w:sz w:val="28"/>
          <w:szCs w:val="29"/>
        </w:rPr>
        <w:t>要求</w:t>
      </w:r>
    </w:p>
    <w:p>
      <w:pPr>
        <w:ind w:firstLine="425" w:firstLineChars="152"/>
        <w:rPr>
          <w:rFonts w:ascii="仿宋" w:hAnsi="仿宋" w:eastAsia="仿宋"/>
          <w:sz w:val="28"/>
          <w:szCs w:val="29"/>
        </w:rPr>
      </w:pPr>
      <w:r>
        <w:rPr>
          <w:rFonts w:hint="eastAsia" w:ascii="仿宋" w:hAnsi="仿宋" w:eastAsia="仿宋"/>
          <w:sz w:val="28"/>
          <w:szCs w:val="29"/>
        </w:rPr>
        <w:t>产品具体参数指标要求如下：</w:t>
      </w:r>
    </w:p>
    <w:p>
      <w:pPr>
        <w:ind w:firstLine="560" w:firstLineChars="200"/>
        <w:rPr>
          <w:rFonts w:ascii="仿宋" w:hAnsi="仿宋" w:eastAsia="仿宋"/>
          <w:sz w:val="28"/>
          <w:szCs w:val="29"/>
        </w:rPr>
      </w:pPr>
      <w:r>
        <w:rPr>
          <w:rFonts w:hint="eastAsia" w:ascii="仿宋" w:hAnsi="仿宋" w:eastAsia="仿宋"/>
          <w:sz w:val="28"/>
          <w:szCs w:val="29"/>
        </w:rPr>
        <w:t>1.产品连接方式及安全性要求：通过校园网内网的局域网方式连接。</w:t>
      </w:r>
      <w:r>
        <w:rPr>
          <w:rFonts w:hint="eastAsia" w:ascii="仿宋" w:hAnsi="仿宋" w:eastAsia="仿宋"/>
          <w:b/>
          <w:bCs/>
          <w:sz w:val="28"/>
          <w:szCs w:val="29"/>
        </w:rPr>
        <w:t>不使用外部网络，从而保障数据安全</w:t>
      </w:r>
      <w:r>
        <w:rPr>
          <w:rFonts w:hint="eastAsia" w:ascii="仿宋" w:hAnsi="仿宋" w:eastAsia="仿宋"/>
          <w:sz w:val="28"/>
          <w:szCs w:val="29"/>
        </w:rPr>
        <w:t>。</w:t>
      </w:r>
    </w:p>
    <w:p>
      <w:pPr>
        <w:ind w:firstLine="560" w:firstLineChars="200"/>
      </w:pPr>
      <w:r>
        <w:rPr>
          <w:rFonts w:hint="eastAsia" w:ascii="仿宋" w:hAnsi="仿宋" w:eastAsia="仿宋"/>
          <w:sz w:val="28"/>
          <w:szCs w:val="29"/>
        </w:rPr>
        <w:t>2.产品的可维护性及易用性：整体系统应采用当前成熟稳定的技术方案，确保实施交付时具备可落地性。应充分考虑易操作性，便于管理和维护，易于用户掌握和学习使用。力求在最大程度上减轻日常的运行、管理和维护工作的强度。系统的维护管理简单，故障排查手段容易掌握，同时应支持远距离的系统级维护。</w:t>
      </w:r>
      <w:r>
        <w:rPr>
          <w:rFonts w:hint="eastAsia" w:ascii="仿宋" w:hAnsi="仿宋" w:eastAsia="仿宋"/>
          <w:b/>
          <w:bCs/>
          <w:sz w:val="28"/>
          <w:szCs w:val="29"/>
        </w:rPr>
        <w:t>经一次安装调试之后无需再次设置，做到随用随开，即开即用。</w:t>
      </w:r>
    </w:p>
    <w:p>
      <w:pPr>
        <w:pStyle w:val="2"/>
        <w:ind w:firstLine="560" w:firstLineChars="200"/>
        <w:rPr>
          <w:rFonts w:ascii="仿宋" w:hAnsi="仿宋" w:eastAsia="仿宋"/>
          <w:sz w:val="28"/>
          <w:szCs w:val="29"/>
        </w:rPr>
      </w:pPr>
      <w:r>
        <w:rPr>
          <w:rFonts w:hint="eastAsia" w:ascii="仿宋" w:hAnsi="仿宋" w:eastAsia="仿宋" w:cstheme="minorBidi"/>
          <w:sz w:val="28"/>
          <w:szCs w:val="29"/>
        </w:rPr>
        <w:t>3.产品可扩展性：建设接收</w:t>
      </w:r>
      <w:r>
        <w:rPr>
          <w:rFonts w:hint="eastAsia" w:ascii="仿宋" w:hAnsi="仿宋" w:eastAsia="仿宋" w:cstheme="minorBidi"/>
          <w:b/>
          <w:bCs/>
          <w:sz w:val="28"/>
          <w:szCs w:val="29"/>
        </w:rPr>
        <w:t>教育部、市教委信号源后，包含1个主会场，5个分会场</w:t>
      </w:r>
      <w:r>
        <w:rPr>
          <w:rFonts w:hint="eastAsia" w:ascii="仿宋" w:hAnsi="仿宋" w:eastAsia="仿宋"/>
          <w:sz w:val="28"/>
          <w:szCs w:val="29"/>
        </w:rPr>
        <w:t>的信号转发系统，并</w:t>
      </w:r>
      <w:r>
        <w:rPr>
          <w:rFonts w:hint="eastAsia" w:ascii="仿宋" w:hAnsi="仿宋" w:eastAsia="仿宋"/>
          <w:b/>
          <w:bCs/>
          <w:sz w:val="28"/>
          <w:szCs w:val="29"/>
        </w:rPr>
        <w:t>预留出后期扩展分会场</w:t>
      </w:r>
      <w:r>
        <w:rPr>
          <w:rFonts w:hint="eastAsia" w:ascii="仿宋" w:hAnsi="仿宋" w:eastAsia="仿宋"/>
          <w:sz w:val="28"/>
          <w:szCs w:val="29"/>
        </w:rPr>
        <w:t>的接入方式。</w:t>
      </w:r>
    </w:p>
    <w:p>
      <w:pPr>
        <w:pStyle w:val="2"/>
        <w:ind w:firstLine="560" w:firstLineChars="200"/>
        <w:rPr>
          <w:rFonts w:ascii="仿宋" w:hAnsi="仿宋" w:eastAsia="仿宋"/>
          <w:sz w:val="28"/>
          <w:szCs w:val="29"/>
        </w:rPr>
      </w:pPr>
      <w:r>
        <w:rPr>
          <w:rFonts w:hint="eastAsia" w:ascii="仿宋" w:hAnsi="仿宋" w:eastAsia="仿宋"/>
          <w:sz w:val="28"/>
          <w:szCs w:val="29"/>
        </w:rPr>
        <w:t>4.输入输出同时支持音视频分离和音视频合并。</w:t>
      </w:r>
    </w:p>
    <w:p>
      <w:pPr>
        <w:pStyle w:val="2"/>
      </w:pPr>
    </w:p>
    <w:p>
      <w:pPr>
        <w:rPr>
          <w:rFonts w:ascii="仿宋" w:hAnsi="仿宋" w:eastAsia="仿宋"/>
          <w:b/>
          <w:sz w:val="28"/>
          <w:szCs w:val="29"/>
        </w:rPr>
      </w:pPr>
      <w:r>
        <w:rPr>
          <w:rFonts w:hint="eastAsia" w:ascii="仿宋" w:hAnsi="仿宋" w:eastAsia="仿宋"/>
          <w:b/>
          <w:sz w:val="28"/>
          <w:szCs w:val="29"/>
        </w:rPr>
        <w:t>四、项目要求</w:t>
      </w:r>
    </w:p>
    <w:p>
      <w:pPr>
        <w:ind w:firstLine="420"/>
        <w:rPr>
          <w:rFonts w:ascii="仿宋" w:hAnsi="仿宋" w:eastAsia="仿宋"/>
          <w:color w:val="7030A0"/>
          <w:sz w:val="28"/>
          <w:szCs w:val="29"/>
        </w:rPr>
      </w:pPr>
      <w:r>
        <w:rPr>
          <w:rFonts w:hint="eastAsia" w:ascii="仿宋" w:hAnsi="仿宋" w:eastAsia="仿宋"/>
          <w:sz w:val="28"/>
          <w:szCs w:val="29"/>
        </w:rPr>
        <w:t>1、实施要求：（1）产品部署期间，不影响正常信息业务和设备的运行。（2）列出详细的实施计划。</w:t>
      </w:r>
    </w:p>
    <w:p>
      <w:pPr>
        <w:ind w:firstLine="420"/>
        <w:rPr>
          <w:rFonts w:ascii="仿宋" w:hAnsi="仿宋" w:eastAsia="仿宋"/>
          <w:sz w:val="28"/>
          <w:szCs w:val="29"/>
        </w:rPr>
      </w:pPr>
      <w:r>
        <w:rPr>
          <w:rFonts w:hint="eastAsia" w:ascii="仿宋" w:hAnsi="仿宋" w:eastAsia="仿宋"/>
          <w:sz w:val="28"/>
          <w:szCs w:val="29"/>
        </w:rPr>
        <w:t>2、资料和培训要求：产品部署后提交详细的使用手册，并提供现场使用培训服务。</w:t>
      </w:r>
    </w:p>
    <w:p>
      <w:pPr>
        <w:ind w:firstLine="420"/>
        <w:rPr>
          <w:rFonts w:ascii="仿宋" w:hAnsi="仿宋" w:eastAsia="仿宋"/>
          <w:sz w:val="28"/>
          <w:szCs w:val="29"/>
        </w:rPr>
      </w:pPr>
      <w:r>
        <w:rPr>
          <w:rFonts w:hint="eastAsia" w:ascii="仿宋" w:hAnsi="仿宋" w:eastAsia="仿宋"/>
          <w:sz w:val="28"/>
          <w:szCs w:val="29"/>
        </w:rPr>
        <w:t>3、工期要求：合同签订后</w:t>
      </w:r>
      <w:r>
        <w:rPr>
          <w:rFonts w:ascii="仿宋" w:hAnsi="仿宋" w:eastAsia="仿宋"/>
          <w:sz w:val="28"/>
          <w:szCs w:val="29"/>
        </w:rPr>
        <w:t>1</w:t>
      </w:r>
      <w:r>
        <w:rPr>
          <w:rFonts w:hint="eastAsia" w:ascii="仿宋" w:hAnsi="仿宋" w:eastAsia="仿宋"/>
          <w:sz w:val="28"/>
          <w:szCs w:val="29"/>
        </w:rPr>
        <w:t>0日内完成产品到货部署；</w:t>
      </w:r>
    </w:p>
    <w:p>
      <w:pPr>
        <w:ind w:firstLine="420"/>
        <w:rPr>
          <w:rFonts w:ascii="仿宋" w:hAnsi="仿宋" w:eastAsia="仿宋"/>
          <w:sz w:val="28"/>
          <w:szCs w:val="29"/>
        </w:rPr>
      </w:pPr>
      <w:r>
        <w:rPr>
          <w:rFonts w:ascii="仿宋" w:hAnsi="仿宋" w:eastAsia="仿宋"/>
          <w:sz w:val="28"/>
          <w:szCs w:val="29"/>
        </w:rPr>
        <w:t>4</w:t>
      </w:r>
      <w:r>
        <w:rPr>
          <w:rFonts w:hint="eastAsia" w:ascii="仿宋" w:hAnsi="仿宋" w:eastAsia="仿宋"/>
          <w:sz w:val="28"/>
          <w:szCs w:val="29"/>
        </w:rPr>
        <w:t>、质保要求：提供原厂售后和质保承诺；提供原厂三年质保和软件免费升级服务；免费提供日常技术咨询服务。</w:t>
      </w:r>
    </w:p>
    <w:p>
      <w:pPr>
        <w:rPr>
          <w:rFonts w:hint="eastAsia" w:ascii="仿宋" w:hAnsi="仿宋" w:eastAsia="仿宋"/>
          <w:b/>
          <w:sz w:val="28"/>
          <w:szCs w:val="29"/>
          <w:lang w:val="en-US" w:eastAsia="zh-CN"/>
        </w:rPr>
      </w:pPr>
      <w:r>
        <w:rPr>
          <w:rFonts w:hint="eastAsia" w:ascii="仿宋" w:hAnsi="仿宋" w:eastAsia="仿宋"/>
          <w:b/>
          <w:sz w:val="28"/>
          <w:szCs w:val="29"/>
          <w:lang w:val="en-US" w:eastAsia="zh-CN"/>
        </w:rPr>
        <w:t>五、评分标准</w:t>
      </w:r>
    </w:p>
    <w:tbl>
      <w:tblPr>
        <w:tblStyle w:val="6"/>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76"/>
        <w:gridCol w:w="913"/>
        <w:gridCol w:w="5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spacing w:line="240" w:lineRule="atLeast"/>
              <w:ind w:firstLine="28"/>
              <w:jc w:val="center"/>
              <w:rPr>
                <w:rFonts w:asciiTheme="minorEastAsia" w:hAnsiTheme="minorEastAsia"/>
                <w:b/>
                <w:szCs w:val="21"/>
              </w:rPr>
            </w:pPr>
            <w:r>
              <w:rPr>
                <w:rFonts w:hint="eastAsia" w:asciiTheme="minorEastAsia" w:hAnsiTheme="minorEastAsia"/>
                <w:b/>
                <w:szCs w:val="21"/>
              </w:rPr>
              <w:t>序号</w:t>
            </w:r>
          </w:p>
        </w:tc>
        <w:tc>
          <w:tcPr>
            <w:tcW w:w="1176" w:type="dxa"/>
            <w:vAlign w:val="center"/>
          </w:tcPr>
          <w:p>
            <w:pPr>
              <w:spacing w:line="240" w:lineRule="atLeast"/>
              <w:ind w:firstLine="28"/>
              <w:jc w:val="center"/>
              <w:rPr>
                <w:rFonts w:asciiTheme="minorEastAsia" w:hAnsiTheme="minorEastAsia"/>
                <w:b/>
                <w:szCs w:val="21"/>
              </w:rPr>
            </w:pPr>
            <w:r>
              <w:rPr>
                <w:rFonts w:hint="eastAsia" w:asciiTheme="minorEastAsia" w:hAnsiTheme="minorEastAsia"/>
                <w:b/>
                <w:szCs w:val="21"/>
              </w:rPr>
              <w:t>评分因素</w:t>
            </w:r>
          </w:p>
          <w:p>
            <w:pPr>
              <w:spacing w:line="240" w:lineRule="atLeast"/>
              <w:ind w:firstLine="28"/>
              <w:jc w:val="center"/>
              <w:rPr>
                <w:rFonts w:asciiTheme="minorEastAsia" w:hAnsiTheme="minorEastAsia"/>
                <w:b/>
                <w:szCs w:val="21"/>
              </w:rPr>
            </w:pPr>
            <w:r>
              <w:rPr>
                <w:rFonts w:hint="eastAsia" w:asciiTheme="minorEastAsia" w:hAnsiTheme="minorEastAsia"/>
                <w:b/>
                <w:szCs w:val="21"/>
              </w:rPr>
              <w:t>及权重</w:t>
            </w:r>
          </w:p>
        </w:tc>
        <w:tc>
          <w:tcPr>
            <w:tcW w:w="913" w:type="dxa"/>
            <w:vAlign w:val="center"/>
          </w:tcPr>
          <w:p>
            <w:pPr>
              <w:spacing w:line="240" w:lineRule="atLeast"/>
              <w:ind w:firstLine="28"/>
              <w:jc w:val="center"/>
              <w:rPr>
                <w:rFonts w:asciiTheme="minorEastAsia" w:hAnsiTheme="minorEastAsia"/>
                <w:b/>
                <w:szCs w:val="21"/>
              </w:rPr>
            </w:pPr>
            <w:r>
              <w:rPr>
                <w:rFonts w:hint="eastAsia" w:asciiTheme="minorEastAsia" w:hAnsiTheme="minorEastAsia"/>
                <w:b/>
                <w:szCs w:val="21"/>
              </w:rPr>
              <w:t>分值</w:t>
            </w:r>
          </w:p>
        </w:tc>
        <w:tc>
          <w:tcPr>
            <w:tcW w:w="5548" w:type="dxa"/>
            <w:vAlign w:val="center"/>
          </w:tcPr>
          <w:p>
            <w:pPr>
              <w:pStyle w:val="11"/>
              <w:spacing w:before="0" w:after="0" w:line="24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spacing w:line="240" w:lineRule="atLeast"/>
              <w:ind w:firstLine="28"/>
              <w:jc w:val="center"/>
              <w:rPr>
                <w:rFonts w:asciiTheme="minorEastAsia" w:hAnsiTheme="minorEastAsia"/>
                <w:szCs w:val="21"/>
              </w:rPr>
            </w:pPr>
            <w:r>
              <w:rPr>
                <w:rFonts w:hint="eastAsia" w:asciiTheme="minorEastAsia" w:hAnsiTheme="minorEastAsia"/>
                <w:szCs w:val="21"/>
              </w:rPr>
              <w:t>1</w:t>
            </w:r>
          </w:p>
        </w:tc>
        <w:tc>
          <w:tcPr>
            <w:tcW w:w="1176" w:type="dxa"/>
            <w:vAlign w:val="center"/>
          </w:tcPr>
          <w:p>
            <w:pPr>
              <w:spacing w:line="240" w:lineRule="atLeast"/>
              <w:ind w:firstLine="28"/>
              <w:jc w:val="center"/>
              <w:rPr>
                <w:rFonts w:asciiTheme="minorEastAsia" w:hAnsiTheme="minorEastAsia"/>
                <w:szCs w:val="21"/>
              </w:rPr>
            </w:pPr>
            <w:r>
              <w:rPr>
                <w:rFonts w:hint="eastAsia" w:asciiTheme="minorEastAsia" w:hAnsiTheme="minorEastAsia"/>
                <w:szCs w:val="21"/>
              </w:rPr>
              <w:t>投标报价</w:t>
            </w:r>
          </w:p>
          <w:p>
            <w:pPr>
              <w:spacing w:line="240" w:lineRule="atLeast"/>
              <w:ind w:firstLine="28"/>
              <w:jc w:val="center"/>
              <w:rPr>
                <w:rFonts w:asciiTheme="minorEastAsia" w:hAnsiTheme="minorEastAsia"/>
                <w:szCs w:val="21"/>
              </w:rPr>
            </w:pPr>
            <w:r>
              <w:rPr>
                <w:rFonts w:hint="eastAsia" w:asciiTheme="minorEastAsia" w:hAnsiTheme="minorEastAsia"/>
                <w:szCs w:val="21"/>
              </w:rPr>
              <w:t>（15%）</w:t>
            </w:r>
          </w:p>
        </w:tc>
        <w:tc>
          <w:tcPr>
            <w:tcW w:w="913" w:type="dxa"/>
            <w:vAlign w:val="center"/>
          </w:tcPr>
          <w:p>
            <w:pPr>
              <w:spacing w:line="240" w:lineRule="atLeast"/>
              <w:ind w:firstLine="28"/>
              <w:jc w:val="center"/>
              <w:rPr>
                <w:rFonts w:asciiTheme="minorEastAsia" w:hAnsiTheme="minorEastAsia"/>
                <w:szCs w:val="21"/>
              </w:rPr>
            </w:pPr>
            <w:r>
              <w:rPr>
                <w:rFonts w:hint="eastAsia" w:asciiTheme="minorEastAsia" w:hAnsiTheme="minorEastAsia"/>
                <w:szCs w:val="21"/>
              </w:rPr>
              <w:t>15分</w:t>
            </w:r>
          </w:p>
        </w:tc>
        <w:tc>
          <w:tcPr>
            <w:tcW w:w="5548" w:type="dxa"/>
            <w:vAlign w:val="center"/>
          </w:tcPr>
          <w:p>
            <w:pPr>
              <w:spacing w:line="240" w:lineRule="atLeast"/>
              <w:rPr>
                <w:rFonts w:asciiTheme="minorEastAsia" w:hAnsiTheme="minorEastAsia"/>
                <w:szCs w:val="21"/>
              </w:rPr>
            </w:pPr>
            <w:r>
              <w:rPr>
                <w:rFonts w:hint="eastAsia" w:asciiTheme="minorEastAsia" w:hAnsiTheme="minorEastAsia"/>
                <w:szCs w:val="21"/>
              </w:rPr>
              <w:t>有效的投标报价中的最低价为评标基准价，按照下列公式计算每个投标人的投标价格得分。</w:t>
            </w:r>
          </w:p>
          <w:p>
            <w:pPr>
              <w:spacing w:line="240" w:lineRule="atLeast"/>
              <w:ind w:left="-38"/>
              <w:rPr>
                <w:rFonts w:asciiTheme="minorEastAsia" w:hAnsiTheme="minorEastAsia"/>
                <w:szCs w:val="21"/>
              </w:rPr>
            </w:pPr>
            <w:r>
              <w:rPr>
                <w:rFonts w:hint="eastAsia" w:asciiTheme="minorEastAsia" w:hAnsiTheme="minorEastAsia"/>
                <w:szCs w:val="21"/>
              </w:rPr>
              <w:t>投标报价得分＝（评标基准价/投标报价）×价格权重×100。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27" w:type="dxa"/>
            <w:vMerge w:val="restart"/>
            <w:vAlign w:val="center"/>
          </w:tcPr>
          <w:p>
            <w:pPr>
              <w:spacing w:line="240" w:lineRule="atLeast"/>
              <w:ind w:firstLine="28"/>
              <w:jc w:val="center"/>
              <w:rPr>
                <w:rFonts w:asciiTheme="minorEastAsia" w:hAnsiTheme="minorEastAsia"/>
                <w:szCs w:val="21"/>
              </w:rPr>
            </w:pPr>
            <w:r>
              <w:rPr>
                <w:rFonts w:hint="eastAsia" w:asciiTheme="minorEastAsia" w:hAnsiTheme="minorEastAsia"/>
                <w:szCs w:val="21"/>
              </w:rPr>
              <w:t>2</w:t>
            </w:r>
          </w:p>
        </w:tc>
        <w:tc>
          <w:tcPr>
            <w:tcW w:w="1176" w:type="dxa"/>
            <w:vMerge w:val="restart"/>
            <w:vAlign w:val="center"/>
          </w:tcPr>
          <w:p>
            <w:pPr>
              <w:spacing w:line="240" w:lineRule="atLeast"/>
              <w:ind w:firstLine="28"/>
              <w:jc w:val="center"/>
              <w:rPr>
                <w:rFonts w:asciiTheme="minorEastAsia" w:hAnsiTheme="minorEastAsia"/>
                <w:szCs w:val="21"/>
              </w:rPr>
            </w:pPr>
            <w:r>
              <w:rPr>
                <w:rFonts w:hint="eastAsia" w:asciiTheme="minorEastAsia" w:hAnsiTheme="minorEastAsia"/>
                <w:szCs w:val="21"/>
              </w:rPr>
              <w:t>技术部分</w:t>
            </w:r>
          </w:p>
          <w:p>
            <w:pPr>
              <w:spacing w:line="240" w:lineRule="atLeast"/>
              <w:ind w:firstLine="28"/>
              <w:jc w:val="cente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70</w:t>
            </w:r>
            <w:r>
              <w:rPr>
                <w:rFonts w:hint="eastAsia" w:asciiTheme="minorEastAsia" w:hAnsiTheme="minorEastAsia"/>
                <w:szCs w:val="21"/>
              </w:rPr>
              <w:t>%）</w:t>
            </w:r>
          </w:p>
        </w:tc>
        <w:tc>
          <w:tcPr>
            <w:tcW w:w="913" w:type="dxa"/>
            <w:vAlign w:val="center"/>
          </w:tcPr>
          <w:p>
            <w:pPr>
              <w:spacing w:line="240" w:lineRule="atLeast"/>
              <w:ind w:firstLine="28"/>
              <w:jc w:val="center"/>
              <w:rPr>
                <w:rFonts w:asciiTheme="minorEastAsia" w:hAnsiTheme="minorEastAsia"/>
                <w:szCs w:val="21"/>
              </w:rPr>
            </w:pPr>
            <w:r>
              <w:rPr>
                <w:rFonts w:hint="eastAsia" w:asciiTheme="minorEastAsia" w:hAnsiTheme="minorEastAsia"/>
                <w:szCs w:val="21"/>
              </w:rPr>
              <w:t>方案整体设计情况（</w:t>
            </w:r>
            <w:r>
              <w:rPr>
                <w:rFonts w:asciiTheme="minorEastAsia" w:hAnsiTheme="minorEastAsia"/>
                <w:szCs w:val="21"/>
              </w:rPr>
              <w:t>25</w:t>
            </w:r>
            <w:r>
              <w:rPr>
                <w:rFonts w:hint="eastAsia" w:asciiTheme="minorEastAsia" w:hAnsiTheme="minorEastAsia"/>
                <w:szCs w:val="21"/>
              </w:rPr>
              <w:t>分）</w:t>
            </w:r>
          </w:p>
        </w:tc>
        <w:tc>
          <w:tcPr>
            <w:tcW w:w="5548" w:type="dxa"/>
            <w:vAlign w:val="center"/>
          </w:tcPr>
          <w:p>
            <w:pPr>
              <w:spacing w:line="240" w:lineRule="atLeast"/>
              <w:rPr>
                <w:rFonts w:asciiTheme="minorEastAsia" w:hAnsiTheme="minorEastAsia"/>
                <w:szCs w:val="21"/>
              </w:rPr>
            </w:pPr>
            <w:r>
              <w:rPr>
                <w:rFonts w:hint="eastAsia" w:asciiTheme="minorEastAsia" w:hAnsiTheme="minorEastAsia"/>
                <w:szCs w:val="21"/>
              </w:rPr>
              <w:t>在响应文件中详细说明建设方案（包括但不限于组成架构、联网方式、数据交换方式、拓展方式）根据所提供的方案完整、合理、具备可执行性等进行评分。相对于其他响应人，最优得</w:t>
            </w:r>
            <w:r>
              <w:rPr>
                <w:rFonts w:asciiTheme="minorEastAsia" w:hAnsiTheme="minorEastAsia"/>
                <w:szCs w:val="21"/>
              </w:rPr>
              <w:t>25</w:t>
            </w:r>
            <w:r>
              <w:rPr>
                <w:rFonts w:hint="eastAsia" w:asciiTheme="minorEastAsia" w:hAnsiTheme="minorEastAsia"/>
                <w:szCs w:val="21"/>
              </w:rPr>
              <w:t>分，一般得10分，其余不得分。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27" w:type="dxa"/>
            <w:vMerge w:val="continue"/>
            <w:vAlign w:val="center"/>
          </w:tcPr>
          <w:p>
            <w:pPr>
              <w:spacing w:line="240" w:lineRule="atLeast"/>
              <w:ind w:firstLine="28"/>
              <w:jc w:val="center"/>
              <w:rPr>
                <w:rFonts w:asciiTheme="minorEastAsia" w:hAnsiTheme="minorEastAsia"/>
                <w:szCs w:val="21"/>
              </w:rPr>
            </w:pPr>
          </w:p>
        </w:tc>
        <w:tc>
          <w:tcPr>
            <w:tcW w:w="1176" w:type="dxa"/>
            <w:vMerge w:val="continue"/>
            <w:vAlign w:val="center"/>
          </w:tcPr>
          <w:p>
            <w:pPr>
              <w:spacing w:line="240" w:lineRule="atLeast"/>
              <w:ind w:firstLine="28"/>
              <w:jc w:val="center"/>
              <w:rPr>
                <w:rFonts w:asciiTheme="minorEastAsia" w:hAnsiTheme="minorEastAsia"/>
                <w:szCs w:val="21"/>
              </w:rPr>
            </w:pPr>
          </w:p>
        </w:tc>
        <w:tc>
          <w:tcPr>
            <w:tcW w:w="913" w:type="dxa"/>
            <w:vAlign w:val="center"/>
          </w:tcPr>
          <w:p>
            <w:pPr>
              <w:spacing w:line="240" w:lineRule="atLeast"/>
              <w:ind w:firstLine="28"/>
              <w:jc w:val="center"/>
              <w:rPr>
                <w:rFonts w:asciiTheme="minorEastAsia" w:hAnsiTheme="minorEastAsia"/>
                <w:szCs w:val="21"/>
              </w:rPr>
            </w:pPr>
            <w:r>
              <w:rPr>
                <w:rFonts w:hint="eastAsia" w:asciiTheme="minorEastAsia" w:hAnsiTheme="minorEastAsia"/>
                <w:szCs w:val="21"/>
              </w:rPr>
              <w:t>实施方案情况（</w:t>
            </w:r>
            <w:r>
              <w:rPr>
                <w:rFonts w:asciiTheme="minorEastAsia" w:hAnsiTheme="minorEastAsia"/>
                <w:szCs w:val="21"/>
              </w:rPr>
              <w:t>20</w:t>
            </w:r>
            <w:r>
              <w:rPr>
                <w:rFonts w:hint="eastAsia" w:asciiTheme="minorEastAsia" w:hAnsiTheme="minorEastAsia"/>
                <w:szCs w:val="21"/>
              </w:rPr>
              <w:t>分）</w:t>
            </w:r>
          </w:p>
        </w:tc>
        <w:tc>
          <w:tcPr>
            <w:tcW w:w="5548" w:type="dxa"/>
            <w:vAlign w:val="center"/>
          </w:tcPr>
          <w:p>
            <w:pPr>
              <w:spacing w:line="240" w:lineRule="atLeast"/>
              <w:rPr>
                <w:rFonts w:asciiTheme="minorEastAsia" w:hAnsiTheme="minorEastAsia"/>
                <w:szCs w:val="21"/>
              </w:rPr>
            </w:pPr>
            <w:r>
              <w:rPr>
                <w:rFonts w:hint="eastAsia" w:asciiTheme="minorEastAsia" w:hAnsiTheme="minorEastAsia"/>
                <w:szCs w:val="21"/>
              </w:rPr>
              <w:t>响应实施方案明确清晰，科学合理、可操作性强并完全符合西南大学实际情况，相对于其他响应人，最优得</w:t>
            </w:r>
            <w:r>
              <w:rPr>
                <w:rFonts w:asciiTheme="minorEastAsia" w:hAnsiTheme="minorEastAsia"/>
                <w:szCs w:val="21"/>
              </w:rPr>
              <w:t>20</w:t>
            </w:r>
            <w:r>
              <w:rPr>
                <w:rFonts w:hint="eastAsia" w:asciiTheme="minorEastAsia" w:hAnsiTheme="minorEastAsia"/>
                <w:szCs w:val="21"/>
              </w:rPr>
              <w:t>分，一般得1</w:t>
            </w:r>
            <w:r>
              <w:rPr>
                <w:rFonts w:asciiTheme="minorEastAsia" w:hAnsiTheme="minorEastAsia"/>
                <w:szCs w:val="21"/>
              </w:rPr>
              <w:t>0</w:t>
            </w:r>
            <w:r>
              <w:rPr>
                <w:rFonts w:hint="eastAsia" w:asciiTheme="minorEastAsia" w:hAnsiTheme="minorEastAsia"/>
                <w:szCs w:val="21"/>
              </w:rPr>
              <w:t>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27" w:type="dxa"/>
            <w:vMerge w:val="continue"/>
            <w:vAlign w:val="center"/>
          </w:tcPr>
          <w:p>
            <w:pPr>
              <w:spacing w:line="240" w:lineRule="atLeast"/>
              <w:ind w:firstLine="28"/>
              <w:jc w:val="center"/>
              <w:rPr>
                <w:rFonts w:asciiTheme="minorEastAsia" w:hAnsiTheme="minorEastAsia"/>
                <w:szCs w:val="21"/>
              </w:rPr>
            </w:pPr>
          </w:p>
        </w:tc>
        <w:tc>
          <w:tcPr>
            <w:tcW w:w="1176" w:type="dxa"/>
            <w:vMerge w:val="continue"/>
            <w:vAlign w:val="center"/>
          </w:tcPr>
          <w:p>
            <w:pPr>
              <w:spacing w:line="240" w:lineRule="atLeast"/>
              <w:ind w:firstLine="28"/>
              <w:jc w:val="center"/>
              <w:rPr>
                <w:rFonts w:asciiTheme="minorEastAsia" w:hAnsiTheme="minorEastAsia"/>
                <w:szCs w:val="21"/>
              </w:rPr>
            </w:pPr>
          </w:p>
        </w:tc>
        <w:tc>
          <w:tcPr>
            <w:tcW w:w="913" w:type="dxa"/>
            <w:vAlign w:val="center"/>
          </w:tcPr>
          <w:p>
            <w:pPr>
              <w:spacing w:line="240" w:lineRule="atLeast"/>
              <w:ind w:firstLine="28"/>
              <w:jc w:val="center"/>
              <w:rPr>
                <w:rFonts w:asciiTheme="minorEastAsia" w:hAnsiTheme="minorEastAsia"/>
                <w:szCs w:val="21"/>
              </w:rPr>
            </w:pPr>
            <w:r>
              <w:rPr>
                <w:rFonts w:hint="eastAsia" w:asciiTheme="minorEastAsia" w:hAnsiTheme="minorEastAsia"/>
                <w:szCs w:val="21"/>
              </w:rPr>
              <w:t>软、硬件选用情况（</w:t>
            </w:r>
            <w:r>
              <w:rPr>
                <w:rFonts w:asciiTheme="minorEastAsia" w:hAnsiTheme="minorEastAsia"/>
                <w:szCs w:val="21"/>
              </w:rPr>
              <w:t>25</w:t>
            </w:r>
            <w:r>
              <w:rPr>
                <w:rFonts w:hint="eastAsia" w:asciiTheme="minorEastAsia" w:hAnsiTheme="minorEastAsia"/>
                <w:szCs w:val="21"/>
              </w:rPr>
              <w:t>分）</w:t>
            </w:r>
          </w:p>
        </w:tc>
        <w:tc>
          <w:tcPr>
            <w:tcW w:w="5548" w:type="dxa"/>
            <w:vAlign w:val="center"/>
          </w:tcPr>
          <w:p>
            <w:pPr>
              <w:spacing w:line="240" w:lineRule="atLeast"/>
              <w:rPr>
                <w:rFonts w:asciiTheme="minorEastAsia" w:hAnsiTheme="minorEastAsia"/>
                <w:szCs w:val="21"/>
              </w:rPr>
            </w:pPr>
            <w:r>
              <w:rPr>
                <w:rFonts w:hint="eastAsia" w:asciiTheme="minorEastAsia" w:hAnsiTheme="minorEastAsia"/>
                <w:szCs w:val="21"/>
              </w:rPr>
              <w:t>在响应文件中对选用软、硬件进行说明（包括但不限于功能、型号、详细参数、可拓展能力）根据软、硬件的功能、性能、拓展能力、易用性、稳定性和安全性等进行评分。相对于其他响应人，最优得</w:t>
            </w:r>
            <w:r>
              <w:rPr>
                <w:rFonts w:asciiTheme="minorEastAsia" w:hAnsiTheme="minorEastAsia"/>
                <w:szCs w:val="21"/>
              </w:rPr>
              <w:t>25</w:t>
            </w:r>
            <w:r>
              <w:rPr>
                <w:rFonts w:hint="eastAsia" w:asciiTheme="minorEastAsia" w:hAnsiTheme="minorEastAsia"/>
                <w:szCs w:val="21"/>
              </w:rPr>
              <w:t>分，一般得10分，其余不得分。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27" w:type="dxa"/>
            <w:vAlign w:val="center"/>
          </w:tcPr>
          <w:p>
            <w:pPr>
              <w:spacing w:line="240" w:lineRule="atLeast"/>
              <w:ind w:firstLine="28"/>
              <w:jc w:val="center"/>
              <w:rPr>
                <w:rFonts w:asciiTheme="minorEastAsia" w:hAnsiTheme="minorEastAsia"/>
                <w:szCs w:val="21"/>
              </w:rPr>
            </w:pPr>
            <w:r>
              <w:rPr>
                <w:rFonts w:hint="eastAsia" w:asciiTheme="minorEastAsia" w:hAnsiTheme="minorEastAsia"/>
                <w:szCs w:val="21"/>
              </w:rPr>
              <w:t>3</w:t>
            </w:r>
          </w:p>
        </w:tc>
        <w:tc>
          <w:tcPr>
            <w:tcW w:w="1176" w:type="dxa"/>
            <w:vAlign w:val="center"/>
          </w:tcPr>
          <w:p>
            <w:pPr>
              <w:spacing w:line="240" w:lineRule="atLeast"/>
              <w:ind w:firstLine="28"/>
              <w:jc w:val="center"/>
              <w:rPr>
                <w:rFonts w:asciiTheme="minorEastAsia" w:hAnsiTheme="minorEastAsia"/>
                <w:szCs w:val="21"/>
              </w:rPr>
            </w:pPr>
            <w:r>
              <w:rPr>
                <w:rFonts w:hint="eastAsia" w:asciiTheme="minorEastAsia" w:hAnsiTheme="minorEastAsia"/>
                <w:szCs w:val="21"/>
              </w:rPr>
              <w:t>售后服务方案（</w:t>
            </w:r>
            <w:r>
              <w:rPr>
                <w:rFonts w:asciiTheme="minorEastAsia" w:hAnsiTheme="minorEastAsia"/>
                <w:szCs w:val="21"/>
              </w:rPr>
              <w:t>15</w:t>
            </w:r>
            <w:r>
              <w:rPr>
                <w:rFonts w:hint="eastAsia" w:asciiTheme="minorEastAsia" w:hAnsiTheme="minorEastAsia"/>
                <w:szCs w:val="21"/>
              </w:rPr>
              <w:t>%）</w:t>
            </w:r>
          </w:p>
        </w:tc>
        <w:tc>
          <w:tcPr>
            <w:tcW w:w="913" w:type="dxa"/>
            <w:vAlign w:val="center"/>
          </w:tcPr>
          <w:p>
            <w:pPr>
              <w:spacing w:line="240" w:lineRule="atLeast"/>
              <w:ind w:firstLine="28"/>
              <w:jc w:val="center"/>
              <w:rPr>
                <w:rFonts w:asciiTheme="minorEastAsia" w:hAnsiTheme="minorEastAsia"/>
                <w:szCs w:val="21"/>
              </w:rPr>
            </w:pPr>
            <w:r>
              <w:rPr>
                <w:rFonts w:asciiTheme="minorEastAsia" w:hAnsiTheme="minorEastAsia"/>
                <w:szCs w:val="21"/>
              </w:rPr>
              <w:t>15</w:t>
            </w:r>
            <w:r>
              <w:rPr>
                <w:rFonts w:hint="eastAsia" w:asciiTheme="minorEastAsia" w:hAnsiTheme="minorEastAsia"/>
                <w:szCs w:val="21"/>
              </w:rPr>
              <w:t>分</w:t>
            </w:r>
          </w:p>
        </w:tc>
        <w:tc>
          <w:tcPr>
            <w:tcW w:w="5548" w:type="dxa"/>
            <w:vAlign w:val="center"/>
          </w:tcPr>
          <w:p>
            <w:pPr>
              <w:spacing w:line="240" w:lineRule="atLeast"/>
              <w:ind w:left="-38"/>
              <w:rPr>
                <w:rFonts w:asciiTheme="minorEastAsia" w:hAnsiTheme="minorEastAsia"/>
                <w:szCs w:val="21"/>
              </w:rPr>
            </w:pPr>
            <w:r>
              <w:rPr>
                <w:rFonts w:hint="eastAsia" w:asciiTheme="minorEastAsia" w:hAnsiTheme="minorEastAsia"/>
                <w:szCs w:val="21"/>
              </w:rPr>
              <w:t>响应人的售后服务方案科学合理，有明确、可靠的售后服务迅速响应措施和保障体系的，得1</w:t>
            </w:r>
            <w:r>
              <w:rPr>
                <w:rFonts w:asciiTheme="minorEastAsia" w:hAnsiTheme="minorEastAsia"/>
                <w:szCs w:val="21"/>
              </w:rPr>
              <w:t>5</w:t>
            </w:r>
            <w:r>
              <w:rPr>
                <w:rFonts w:hint="eastAsia" w:asciiTheme="minorEastAsia" w:hAnsiTheme="minorEastAsia"/>
                <w:szCs w:val="21"/>
              </w:rPr>
              <w:t>分；响应人的售后服务方案较科学合理，有较明确、较可靠的售后服务迅速响应措施和保障体系的，得</w:t>
            </w:r>
            <w:r>
              <w:rPr>
                <w:rFonts w:asciiTheme="minorEastAsia" w:hAnsiTheme="minorEastAsia"/>
                <w:szCs w:val="21"/>
              </w:rPr>
              <w:t>5</w:t>
            </w:r>
            <w:r>
              <w:rPr>
                <w:rFonts w:hint="eastAsia" w:asciiTheme="minorEastAsia" w:hAnsiTheme="minorEastAsia"/>
                <w:szCs w:val="21"/>
              </w:rPr>
              <w:t>分。其余不得分。</w:t>
            </w:r>
          </w:p>
        </w:tc>
      </w:tr>
    </w:tbl>
    <w:p>
      <w:pPr>
        <w:pStyle w:val="2"/>
        <w:numPr>
          <w:numId w:val="0"/>
        </w:numPr>
        <w:rPr>
          <w:rFonts w:hint="default" w:ascii="仿宋" w:hAnsi="仿宋" w:eastAsia="仿宋"/>
          <w:sz w:val="28"/>
          <w:szCs w:val="29"/>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CF"/>
    <w:rsid w:val="000574DA"/>
    <w:rsid w:val="0007308E"/>
    <w:rsid w:val="00096B6E"/>
    <w:rsid w:val="000D3011"/>
    <w:rsid w:val="000E1A57"/>
    <w:rsid w:val="00197622"/>
    <w:rsid w:val="001C31A4"/>
    <w:rsid w:val="0020635A"/>
    <w:rsid w:val="00227AB9"/>
    <w:rsid w:val="002354CF"/>
    <w:rsid w:val="0024222E"/>
    <w:rsid w:val="00272441"/>
    <w:rsid w:val="00273282"/>
    <w:rsid w:val="002858D7"/>
    <w:rsid w:val="0029768E"/>
    <w:rsid w:val="002B4C9B"/>
    <w:rsid w:val="002D2AC4"/>
    <w:rsid w:val="002E394F"/>
    <w:rsid w:val="002F599C"/>
    <w:rsid w:val="0031233A"/>
    <w:rsid w:val="00327BDF"/>
    <w:rsid w:val="003551DD"/>
    <w:rsid w:val="00360535"/>
    <w:rsid w:val="003968FA"/>
    <w:rsid w:val="003B72F6"/>
    <w:rsid w:val="004B5E0F"/>
    <w:rsid w:val="004D3227"/>
    <w:rsid w:val="004F1EB0"/>
    <w:rsid w:val="0050244E"/>
    <w:rsid w:val="00516CFD"/>
    <w:rsid w:val="0052015B"/>
    <w:rsid w:val="005329B6"/>
    <w:rsid w:val="00533D20"/>
    <w:rsid w:val="005E68E4"/>
    <w:rsid w:val="006574B9"/>
    <w:rsid w:val="00672ECF"/>
    <w:rsid w:val="0067366B"/>
    <w:rsid w:val="0067391C"/>
    <w:rsid w:val="00732B0D"/>
    <w:rsid w:val="007345D5"/>
    <w:rsid w:val="00745ED6"/>
    <w:rsid w:val="007513EE"/>
    <w:rsid w:val="00754BFB"/>
    <w:rsid w:val="007A54CF"/>
    <w:rsid w:val="008156FF"/>
    <w:rsid w:val="008170B3"/>
    <w:rsid w:val="00845BB0"/>
    <w:rsid w:val="00846E88"/>
    <w:rsid w:val="0084796E"/>
    <w:rsid w:val="00847CDA"/>
    <w:rsid w:val="00872882"/>
    <w:rsid w:val="008B48F8"/>
    <w:rsid w:val="00932D53"/>
    <w:rsid w:val="0094209B"/>
    <w:rsid w:val="00970DC4"/>
    <w:rsid w:val="009A3899"/>
    <w:rsid w:val="009F0F5B"/>
    <w:rsid w:val="009F1170"/>
    <w:rsid w:val="00A42AF3"/>
    <w:rsid w:val="00A52ED2"/>
    <w:rsid w:val="00A81040"/>
    <w:rsid w:val="00AD4E51"/>
    <w:rsid w:val="00AE4973"/>
    <w:rsid w:val="00AF2A50"/>
    <w:rsid w:val="00B14315"/>
    <w:rsid w:val="00B362FB"/>
    <w:rsid w:val="00B43670"/>
    <w:rsid w:val="00BE25CE"/>
    <w:rsid w:val="00BE4785"/>
    <w:rsid w:val="00C24E35"/>
    <w:rsid w:val="00C35E6E"/>
    <w:rsid w:val="00C96D2A"/>
    <w:rsid w:val="00CB26B8"/>
    <w:rsid w:val="00CE41E8"/>
    <w:rsid w:val="00CF0EA2"/>
    <w:rsid w:val="00D13F2D"/>
    <w:rsid w:val="00D2731A"/>
    <w:rsid w:val="00D6320E"/>
    <w:rsid w:val="00D747F3"/>
    <w:rsid w:val="00DB608F"/>
    <w:rsid w:val="00DE0878"/>
    <w:rsid w:val="00E117BE"/>
    <w:rsid w:val="00E24C7C"/>
    <w:rsid w:val="00E317B3"/>
    <w:rsid w:val="00E473B5"/>
    <w:rsid w:val="00EC2AD4"/>
    <w:rsid w:val="00EC5A6E"/>
    <w:rsid w:val="00EC7F2A"/>
    <w:rsid w:val="00EE231E"/>
    <w:rsid w:val="00EF7EDD"/>
    <w:rsid w:val="00F522F9"/>
    <w:rsid w:val="00F9563E"/>
    <w:rsid w:val="00FE4B1C"/>
    <w:rsid w:val="00FF68BC"/>
    <w:rsid w:val="19274AD2"/>
    <w:rsid w:val="2A7D0BA8"/>
    <w:rsid w:val="4CE64969"/>
    <w:rsid w:val="532860E0"/>
    <w:rsid w:val="53C22598"/>
    <w:rsid w:val="617E18CF"/>
    <w:rsid w:val="61AE1B21"/>
    <w:rsid w:val="62820E7F"/>
    <w:rsid w:val="6BA3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rPr>
      <w:rFonts w:ascii="宋体" w:hAnsi="宋体"/>
      <w:sz w:val="24"/>
    </w:rPr>
  </w:style>
  <w:style w:type="paragraph" w:styleId="3">
    <w:name w:val="Body Text"/>
    <w:basedOn w:val="1"/>
    <w:link w:val="12"/>
    <w:qFormat/>
    <w:uiPriority w:val="0"/>
    <w:rPr>
      <w:rFonts w:ascii="仿宋_GB2312" w:hAnsi="Times New Roman" w:eastAsia="仿宋_GB2312" w:cs="Times New Roman"/>
      <w:sz w:val="32"/>
      <w:szCs w:val="2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 w:type="character" w:customStyle="1" w:styleId="12">
    <w:name w:val="正文文本 Char"/>
    <w:basedOn w:val="8"/>
    <w:link w:val="3"/>
    <w:qFormat/>
    <w:uiPriority w:val="0"/>
    <w:rPr>
      <w:rFonts w:ascii="仿宋_GB2312" w:hAnsi="Times New Roman" w:eastAsia="仿宋_GB2312" w:cs="Times New Roman"/>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128</Words>
  <Characters>733</Characters>
  <Lines>6</Lines>
  <Paragraphs>1</Paragraphs>
  <TotalTime>1</TotalTime>
  <ScaleCrop>false</ScaleCrop>
  <LinksUpToDate>false</LinksUpToDate>
  <CharactersWithSpaces>860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2020-11-11T07:31:00Z</dcterms:created>
  <dc:creator>camel_luo</dc:creator>
  <cp:lastModifiedBy>七度鱼</cp:lastModifiedBy>
  <dcterms:modified xsi:type="dcterms:W3CDTF">2021-07-05T02:06:07Z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C090C0B153244CBD817B19EC184B06BE</vt:lpwstr>
  </property>
</Properties>
</file>